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Formulario de cotización de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PRECIOS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708"/>
        <w:gridCol w:w="4814"/>
        <w:tblGridChange w:id="0">
          <w:tblGrid>
            <w:gridCol w:w="3708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oferente: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Haga clic aquí para ingresar una fecha.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Solicitud de cotización Nº: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UNFPA/ECU/RFQ/22/008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Moneda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Dólares estadounidenses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Validez de la cotización: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(La cotización será válida por un período mínimo de 3 meses desde la fecha de plazo límite para la presentación.)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Title"/>
        <w:rPr>
          <w:rFonts w:ascii="Calibri" w:cs="Calibri" w:eastAsia="Calibri" w:hAnsi="Calibri"/>
          <w:sz w:val="20"/>
          <w:szCs w:val="20"/>
        </w:rPr>
      </w:pPr>
      <w:bookmarkStart w:colFirst="0" w:colLast="0" w:name="_heading=h.alc21yppca8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3780"/>
        <w:gridCol w:w="2460"/>
        <w:gridCol w:w="105"/>
        <w:gridCol w:w="630"/>
        <w:gridCol w:w="705"/>
        <w:gridCol w:w="1320"/>
        <w:gridCol w:w="570"/>
        <w:tblGridChange w:id="0">
          <w:tblGrid>
            <w:gridCol w:w="705"/>
            <w:gridCol w:w="3780"/>
            <w:gridCol w:w="2460"/>
            <w:gridCol w:w="105"/>
            <w:gridCol w:w="630"/>
            <w:gridCol w:w="705"/>
            <w:gridCol w:w="1320"/>
            <w:gridCol w:w="57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No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ENTREGA</w:t>
            </w:r>
          </w:p>
        </w:tc>
        <w:tc>
          <w:tcPr>
            <w:gridSpan w:val="3"/>
            <w:shd w:fill="a4c2f4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PORCENTAJE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Plan de trabajo y cronograma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Una (1) semana a partir de la firma del contrato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10% del monto 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Estrategia diseñada y aprobada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45 días posteriores a la firma del contrato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20% del monto 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Informe de acciones de fortalecimiento de participación de mujeres y actores clave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150 días posteriores a la firma del contrato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20% del monto 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Informe de desarrollo de las 2 encuestas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240 días posteriores a la firma del contrato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40% del monto 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Informe final que resume todo lo actuado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270 días posteriores a la firma del contrato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10% del monto 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SUMA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210300" cy="898207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Comentarios del contratista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210300" cy="898207"/>
                <wp:effectExtent b="0" l="0" r="0" t="0"/>
                <wp:wrapNone/>
                <wp:docPr id="3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8982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 el presente certifico que la empresa mencionada anteriormente, en cuyo nombre estoy debidamente autorizado a firmar, ha revisado el documento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UNFPA/ECU/RFQ/22/008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Style w:val="Table3"/>
        <w:tblW w:w="985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927"/>
        <w:gridCol w:w="2464"/>
        <w:gridCol w:w="2464"/>
        <w:tblGridChange w:id="0">
          <w:tblGrid>
            <w:gridCol w:w="4927"/>
            <w:gridCol w:w="2464"/>
            <w:gridCol w:w="2464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Haga clic aquí para ingresar una fecha.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Nombre, firma y cargo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Fecha y lugar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I:</w:t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Condiciones Generales de Contratación:</w:t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Contratos de minimis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0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02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Solicitud de cotización está sujeta a las Condiciones Generales de Contratación del UNFPA para Contratos de minimis, que están disponibles en: </w:t>
      </w:r>
      <w:hyperlink r:id="rId8">
        <w:r w:rsidDel="00000000" w:rsidR="00000000" w:rsidRPr="00000000">
          <w:rPr>
            <w:rFonts w:ascii="Calibri" w:cs="Calibri" w:eastAsia="Calibri" w:hAnsi="Calibri"/>
            <w:color w:val="003366"/>
            <w:sz w:val="24"/>
            <w:szCs w:val="24"/>
            <w:u w:val="single"/>
            <w:rtl w:val="0"/>
          </w:rPr>
          <w:t xml:space="preserve">inglés,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003366"/>
            <w:sz w:val="24"/>
            <w:szCs w:val="24"/>
            <w:u w:val="single"/>
            <w:rtl w:val="0"/>
          </w:rPr>
          <w:t xml:space="preserve">español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 </w:t>
      </w:r>
      <w:hyperlink r:id="rId10">
        <w:r w:rsidDel="00000000" w:rsidR="00000000" w:rsidRPr="00000000">
          <w:rPr>
            <w:rFonts w:ascii="Calibri" w:cs="Calibri" w:eastAsia="Calibri" w:hAnsi="Calibri"/>
            <w:color w:val="003366"/>
            <w:sz w:val="24"/>
            <w:szCs w:val="24"/>
            <w:u w:val="single"/>
            <w:rtl w:val="0"/>
          </w:rPr>
          <w:t xml:space="preserve">francés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0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70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even"/>
      <w:pgSz w:h="16838" w:w="11906" w:orient="portrait"/>
      <w:pgMar w:bottom="720" w:top="720" w:left="993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UNFPA/PSB/Bids/Request for Quotation for Services/RFQ/</w:t>
    </w:r>
    <w:r w:rsidDel="00000000" w:rsidR="00000000" w:rsidRPr="00000000">
      <w:rPr>
        <w:rFonts w:ascii="Calibri" w:cs="Calibri" w:eastAsia="Calibri" w:hAnsi="Calibri"/>
        <w:color w:val="000000"/>
        <w:sz w:val="13"/>
        <w:szCs w:val="13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RFQ Simple Services [0718 – Rev03]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990.0" w:type="dxa"/>
      <w:jc w:val="left"/>
      <w:tblInd w:w="0.0" w:type="dxa"/>
      <w:tblBorders>
        <w:insideH w:color="000000" w:space="0" w:sz="4" w:val="single"/>
      </w:tblBorders>
      <w:tblLayout w:type="fixed"/>
      <w:tblLook w:val="0400"/>
    </w:tblPr>
    <w:tblGrid>
      <w:gridCol w:w="4995"/>
      <w:gridCol w:w="4995"/>
      <w:tblGridChange w:id="0">
        <w:tblGrid>
          <w:gridCol w:w="4995"/>
          <w:gridCol w:w="4995"/>
        </w:tblGrid>
      </w:tblGridChange>
    </w:tblGrid>
    <w:tr>
      <w:trPr>
        <w:cantSplit w:val="0"/>
        <w:trHeight w:val="1142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rPr>
              <w:rFonts w:ascii="Times" w:cs="Times" w:eastAsia="Times" w:hAnsi="Times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24"/>
              <w:szCs w:val="24"/>
            </w:rPr>
            <w:drawing>
              <wp:inline distB="0" distT="0" distL="0" distR="0">
                <wp:extent cx="971550" cy="457200"/>
                <wp:effectExtent b="0" l="0" r="0" t="0"/>
                <wp:docPr descr="clouored%20logo" id="313" name="image1.png"/>
                <a:graphic>
                  <a:graphicData uri="http://schemas.openxmlformats.org/drawingml/2006/picture">
                    <pic:pic>
                      <pic:nvPicPr>
                        <pic:cNvPr descr="clouored%20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right"/>
            <w:rPr>
              <w:rFonts w:ascii="Calibri" w:cs="Calibri" w:eastAsia="Calibri" w:hAnsi="Calibri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Fondo de Población de las Naciones Unidas</w:t>
          </w:r>
        </w:p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right"/>
            <w:rPr>
              <w:rFonts w:ascii="Calibri" w:cs="Calibri" w:eastAsia="Calibri" w:hAnsi="Calibri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Subdivisión de Servicios de Adquisición</w:t>
          </w:r>
        </w:p>
        <w:p w:rsidR="00000000" w:rsidDel="00000000" w:rsidP="00000000" w:rsidRDefault="00000000" w:rsidRPr="00000000" w14:paraId="0000006F">
          <w:pPr>
            <w:tabs>
              <w:tab w:val="center" w:pos="4320"/>
              <w:tab w:val="right" w:pos="8640"/>
            </w:tabs>
            <w:jc w:val="right"/>
            <w:rPr>
              <w:rFonts w:ascii="Calibri" w:cs="Calibri" w:eastAsia="Calibri" w:hAnsi="Calibri"/>
              <w:i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Centro Corporativo EKOPARK, Torre 4, Piso 2, Ecuador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right"/>
            <w:rPr>
              <w:rFonts w:ascii="Times" w:cs="Times" w:eastAsia="Times" w:hAnsi="Times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Sitio web: www.unfpa.org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Times" w:cs="Times" w:eastAsia="Times" w:hAnsi="Times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Times" w:cs="Times" w:eastAsia="Times" w:hAnsi="Times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  <w:qFormat w:val="1"/>
    <w:rsid w:val="004819E5"/>
    <w:rPr>
      <w:lang w:val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10"/>
    <w:qFormat w:val="1"/>
    <w:rsid w:val="004819E5"/>
    <w:pPr>
      <w:jc w:val="center"/>
    </w:pPr>
    <w:rPr>
      <w:b w:val="1"/>
      <w:bCs w:val="1"/>
      <w:sz w:val="24"/>
      <w:u w:val="single"/>
    </w:rPr>
  </w:style>
  <w:style w:type="character" w:styleId="TtuloCar" w:customStyle="1">
    <w:name w:val="Título Car"/>
    <w:basedOn w:val="Fuentedeprrafopredeter"/>
    <w:link w:val="Ttulo"/>
    <w:uiPriority w:val="10"/>
    <w:rsid w:val="004819E5"/>
    <w:rPr>
      <w:rFonts w:ascii="Times New Roman" w:cs="Times New Roman" w:eastAsia="Times New Roman" w:hAnsi="Times New Roman"/>
      <w:b w:val="1"/>
      <w:bCs w:val="1"/>
      <w:sz w:val="24"/>
      <w:szCs w:val="20"/>
      <w:u w:val="single"/>
      <w:lang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unfpa.org/resources/unfpa-general-conditions-de-minimis-contrac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1x9Ea0qYL/5x7eFb66aCA3s3A==">AMUW2mXpNATy5lIK/gizAnQUYQuCwa7CVwNHZ1WXP5UK55CtNUOvd1VJasLVDXEl6fgrHUpAfBgNoCcW4/ifVDcP4FNfMWSHpiBZ6OrG8SJ7Ve4zbfuctOPfiPaOtmi2P0yZSLHNGtSfq710DzpTkhGFigE+ZVKGTg==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2020-08-25T16:05:00Z</dcterms:created>
  <dc:creator>Carolina Hidalgo</dc:creator>
</cp:coreProperties>
</file>