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6658" w14:textId="385E98AA" w:rsidR="00C72384" w:rsidRDefault="006B39F1">
      <w:pPr>
        <w:tabs>
          <w:tab w:val="left" w:pos="5400"/>
        </w:tabs>
        <w:jc w:val="right"/>
        <w:rPr>
          <w:rFonts w:ascii="Calibri" w:eastAsia="Calibri" w:hAnsi="Calibri" w:cs="Calibri"/>
          <w:i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990515">
        <w:rPr>
          <w:rFonts w:ascii="Calibri" w:eastAsia="Calibri" w:hAnsi="Calibri" w:cs="Calibri"/>
          <w:i/>
          <w:sz w:val="22"/>
          <w:szCs w:val="22"/>
        </w:rPr>
        <w:t>14</w:t>
      </w:r>
      <w:r>
        <w:rPr>
          <w:rFonts w:ascii="Calibri" w:eastAsia="Calibri" w:hAnsi="Calibri" w:cs="Calibri"/>
          <w:i/>
          <w:sz w:val="22"/>
          <w:szCs w:val="22"/>
        </w:rPr>
        <w:t>/0</w:t>
      </w:r>
      <w:r w:rsidR="00990515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/2022</w:t>
      </w:r>
    </w:p>
    <w:p w14:paraId="35E8126A" w14:textId="77777777" w:rsidR="00C72384" w:rsidRDefault="00C72384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</w:rPr>
      </w:pPr>
    </w:p>
    <w:p w14:paraId="23173B2F" w14:textId="77777777" w:rsidR="00C72384" w:rsidRDefault="00C72384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8"/>
          <w:szCs w:val="28"/>
        </w:rPr>
      </w:pPr>
    </w:p>
    <w:p w14:paraId="4D464946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SOLICITUD DE COTIZACIÓN </w:t>
      </w:r>
    </w:p>
    <w:p w14:paraId="1C75DC0C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RFQ Nº UNFPA</w:t>
      </w:r>
      <w:r>
        <w:rPr>
          <w:rFonts w:ascii="Calibri" w:eastAsia="Calibri" w:hAnsi="Calibri" w:cs="Calibri"/>
          <w:b/>
          <w:sz w:val="26"/>
          <w:szCs w:val="26"/>
        </w:rPr>
        <w:t>/ECU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/RFQ/</w:t>
      </w:r>
      <w:r>
        <w:rPr>
          <w:rFonts w:ascii="Calibri" w:eastAsia="Calibri" w:hAnsi="Calibri" w:cs="Calibri"/>
          <w:b/>
          <w:sz w:val="26"/>
          <w:szCs w:val="26"/>
        </w:rPr>
        <w:t>2022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008</w:t>
      </w:r>
    </w:p>
    <w:p w14:paraId="70877520" w14:textId="77777777" w:rsidR="00C72384" w:rsidRDefault="00C7238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7A53261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Estimado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/a:</w:t>
      </w:r>
    </w:p>
    <w:p w14:paraId="378A807D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57701FAA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UNFPA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siguiente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37B97F3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780FAED" w14:textId="77777777" w:rsidR="00C72384" w:rsidRDefault="006B39F1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“DESARROLLAR E IMPLEMENTAR ESTRATEGIA DE FORTALECIMIENTO DE LA PARTICIPACION Y RENDICIÓN DE CUENTAS A MUJERES Y NIÑAS EN LAS PROVINCIAS DE ESMERALDAS, MANABÍ Y EL ORO, DENTRO DEL PROYECTO FORTALECIMIENTO DE LOS SERVICIOS DE ATENCIÓN A LA VIOLENCIA BASADA E</w:t>
      </w:r>
      <w:r>
        <w:rPr>
          <w:rFonts w:ascii="Calibri" w:eastAsia="Calibri" w:hAnsi="Calibri" w:cs="Calibri"/>
          <w:b/>
          <w:sz w:val="22"/>
          <w:szCs w:val="22"/>
        </w:rPr>
        <w:t>N GÉNERO EN BRASIL, ECUADOR Y PERÚ EN EL CONTEXTO DE COVID 19”</w:t>
      </w:r>
    </w:p>
    <w:p w14:paraId="6A273208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B7583C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UNFPA </w:t>
      </w:r>
      <w:proofErr w:type="spellStart"/>
      <w:r>
        <w:rPr>
          <w:rFonts w:ascii="Calibri" w:eastAsia="Calibri" w:hAnsi="Calibri" w:cs="Calibri"/>
          <w:sz w:val="22"/>
          <w:szCs w:val="22"/>
        </w:rPr>
        <w:t>invita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personas </w:t>
      </w:r>
      <w:proofErr w:type="spellStart"/>
      <w:r>
        <w:rPr>
          <w:rFonts w:ascii="Calibri" w:eastAsia="Calibri" w:hAnsi="Calibri" w:cs="Calibri"/>
          <w:sz w:val="22"/>
          <w:szCs w:val="22"/>
        </w:rPr>
        <w:t>jurídicas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ecuatorianas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logro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siguiente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0C0F541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58D710B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Objetivo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Asegurar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las </w:t>
      </w:r>
      <w:proofErr w:type="spellStart"/>
      <w:r>
        <w:rPr>
          <w:rFonts w:ascii="Calibri" w:eastAsia="Calibri" w:hAnsi="Calibri" w:cs="Calibri"/>
          <w:sz w:val="22"/>
          <w:szCs w:val="22"/>
        </w:rPr>
        <w:t>intervenciones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 la VBG de las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implementadoras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IPs, </w:t>
      </w:r>
      <w:proofErr w:type="spellStart"/>
      <w:r>
        <w:rPr>
          <w:rFonts w:ascii="Calibri" w:eastAsia="Calibri" w:hAnsi="Calibri" w:cs="Calibri"/>
          <w:sz w:val="22"/>
          <w:szCs w:val="22"/>
        </w:rPr>
        <w:t>estén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guiadas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z w:val="22"/>
          <w:szCs w:val="22"/>
        </w:rPr>
        <w:t>reses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necesidades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mujeres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</w:rPr>
        <w:t>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un </w:t>
      </w:r>
      <w:proofErr w:type="spellStart"/>
      <w:r>
        <w:rPr>
          <w:rFonts w:ascii="Calibri" w:eastAsia="Calibri" w:hAnsi="Calibri" w:cs="Calibri"/>
          <w:sz w:val="22"/>
          <w:szCs w:val="22"/>
        </w:rPr>
        <w:t>proceso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rendición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cuentas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mujeres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niñas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provincias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Esmeraldas, Manabí y El Oro.</w:t>
      </w:r>
    </w:p>
    <w:p w14:paraId="3E366FD7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6D5176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abierta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sz w:val="22"/>
          <w:szCs w:val="22"/>
        </w:rPr>
        <w:t>empresas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constituidas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que </w:t>
      </w:r>
      <w:proofErr w:type="spellStart"/>
      <w:r>
        <w:rPr>
          <w:rFonts w:ascii="Calibri" w:eastAsia="Calibri" w:hAnsi="Calibri" w:cs="Calibri"/>
          <w:sz w:val="22"/>
          <w:szCs w:val="22"/>
        </w:rPr>
        <w:t>puedan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proporcionar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tengan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capacidad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jurídica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prestar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país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a </w:t>
      </w:r>
      <w:proofErr w:type="spellStart"/>
      <w:r>
        <w:rPr>
          <w:rFonts w:ascii="Calibri" w:eastAsia="Calibri" w:hAnsi="Calibri" w:cs="Calibri"/>
          <w:sz w:val="22"/>
          <w:szCs w:val="22"/>
        </w:rPr>
        <w:t>través</w:t>
      </w:r>
      <w:proofErr w:type="spellEnd"/>
    </w:p>
    <w:p w14:paraId="01DB0B37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un </w:t>
      </w:r>
      <w:proofErr w:type="spellStart"/>
      <w:r>
        <w:rPr>
          <w:rFonts w:ascii="Calibri" w:eastAsia="Calibri" w:hAnsi="Calibri" w:cs="Calibri"/>
          <w:sz w:val="22"/>
          <w:szCs w:val="22"/>
        </w:rPr>
        <w:t>representante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autorizado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B49ED4F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21CF9B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Acerca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UNFPA</w:t>
      </w:r>
    </w:p>
    <w:p w14:paraId="22267156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Población de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(UNFPA,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sus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inglés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internacional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desarrollo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trabaja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construir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mundo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donde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embarazos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sean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deseados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partos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sean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seguros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jóvenes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puedan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desarrollar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potencial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14:paraId="37D6A5D1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A417E5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UNFPA 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principal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organismo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ONU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am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plía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posibilidades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mujeres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jóvenes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tener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vida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sexual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reproductiva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saludable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 leer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UNFPA,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visite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hyperlink r:id="rId8">
        <w:proofErr w:type="spellStart"/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Acerca</w:t>
        </w:r>
        <w:proofErr w:type="spellEnd"/>
        <w:r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 xml:space="preserve"> del UNFPA</w:t>
        </w:r>
      </w:hyperlink>
    </w:p>
    <w:p w14:paraId="72358547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highlight w:val="cyan"/>
        </w:rPr>
      </w:pPr>
    </w:p>
    <w:p w14:paraId="0A46F3E0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F068E3F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solicitudes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aclaración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figura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continuación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ecuador.office@unfpa.org</w:t>
      </w:r>
    </w:p>
    <w:p w14:paraId="198BF7BB" w14:textId="77777777" w:rsidR="00C72384" w:rsidRDefault="00C72384">
      <w:pPr>
        <w:tabs>
          <w:tab w:val="left" w:pos="12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9AB898A" w14:textId="1B442BCE" w:rsidR="00C72384" w:rsidRDefault="006B39F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sz w:val="22"/>
          <w:szCs w:val="22"/>
        </w:rPr>
        <w:t>plazo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límite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 </w:t>
      </w:r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>18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de </w:t>
      </w:r>
      <w:proofErr w:type="spellStart"/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>marzo</w:t>
      </w:r>
      <w:proofErr w:type="spellEnd"/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de 2022 hasta las 17h00, hora de Ecuador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z w:val="22"/>
          <w:szCs w:val="22"/>
        </w:rPr>
        <w:t>preguntas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responderán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escrito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se </w:t>
      </w:r>
      <w:proofErr w:type="spellStart"/>
      <w:r>
        <w:rPr>
          <w:rFonts w:ascii="Calibri" w:eastAsia="Calibri" w:hAnsi="Calibri" w:cs="Calibri"/>
          <w:sz w:val="22"/>
          <w:szCs w:val="22"/>
        </w:rPr>
        <w:t>compartirán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sz w:val="22"/>
          <w:szCs w:val="22"/>
        </w:rPr>
        <w:t>partes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lo antes </w:t>
      </w:r>
      <w:proofErr w:type="spellStart"/>
      <w:r>
        <w:rPr>
          <w:rFonts w:ascii="Calibri" w:eastAsia="Calibri" w:hAnsi="Calibri" w:cs="Calibri"/>
          <w:sz w:val="22"/>
          <w:szCs w:val="22"/>
        </w:rPr>
        <w:t>posible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después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plazo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4C84D59" w14:textId="77777777" w:rsidR="00C72384" w:rsidRDefault="00C72384">
      <w:pPr>
        <w:tabs>
          <w:tab w:val="left" w:pos="12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34C1D7C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Contenido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las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cotizaciones</w:t>
      </w:r>
      <w:proofErr w:type="spellEnd"/>
    </w:p>
    <w:p w14:paraId="1A13E2D5" w14:textId="77777777" w:rsidR="00C72384" w:rsidRDefault="006B39F1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solo </w:t>
      </w:r>
      <w:proofErr w:type="spellStart"/>
      <w:r>
        <w:rPr>
          <w:rFonts w:ascii="Calibri" w:eastAsia="Calibri" w:hAnsi="Calibri" w:cs="Calibri"/>
          <w:sz w:val="22"/>
          <w:szCs w:val="22"/>
        </w:rPr>
        <w:t>mensaje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siempre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sea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posible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dependiendo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tamaño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archivos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Las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contener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7F1D57C" w14:textId="77777777" w:rsidR="00C72384" w:rsidRDefault="00C72384">
      <w:pP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397A0D4" w14:textId="77777777" w:rsidR="00C72384" w:rsidRDefault="006B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requisitos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detallados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sección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requis</w:t>
      </w:r>
      <w:r>
        <w:rPr>
          <w:rFonts w:ascii="Calibri" w:eastAsia="Calibri" w:hAnsi="Calibri" w:cs="Calibri"/>
          <w:color w:val="000000"/>
          <w:sz w:val="22"/>
          <w:szCs w:val="22"/>
        </w:rPr>
        <w:t>itos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términos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referencia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B01DA5A" w14:textId="77777777" w:rsidR="00C72384" w:rsidRDefault="006B39F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estricta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12299C5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771E3B2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Ambas </w:t>
      </w:r>
      <w:proofErr w:type="spellStart"/>
      <w:r>
        <w:rPr>
          <w:rFonts w:ascii="Calibri" w:eastAsia="Calibri" w:hAnsi="Calibri" w:cs="Calibri"/>
          <w:sz w:val="22"/>
          <w:szCs w:val="22"/>
        </w:rPr>
        <w:t>partes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firmadas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autoridad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relevante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oferente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se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PDF.</w:t>
      </w:r>
    </w:p>
    <w:p w14:paraId="7739084A" w14:textId="77777777" w:rsidR="00C72384" w:rsidRDefault="00C72384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14:paraId="61FFFCE9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Instrucciones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para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presentación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4966491" w14:textId="65172F1A" w:rsidR="00C72384" w:rsidRDefault="006B39F1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elaborar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las </w:t>
      </w:r>
      <w:proofErr w:type="spellStart"/>
      <w:r>
        <w:rPr>
          <w:rFonts w:ascii="Calibri" w:eastAsia="Calibri" w:hAnsi="Calibri" w:cs="Calibri"/>
          <w:sz w:val="22"/>
          <w:szCs w:val="22"/>
        </w:rPr>
        <w:t>pautas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detalladas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sección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III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arriba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junto con un 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debidamente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z w:val="22"/>
          <w:szCs w:val="22"/>
        </w:rPr>
        <w:t>mado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y se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>22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de </w:t>
      </w:r>
      <w:proofErr w:type="spellStart"/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>marzo</w:t>
      </w:r>
      <w:proofErr w:type="spellEnd"/>
      <w:r w:rsidR="00990515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a las17h00 horas, hora de Ecuador.</w:t>
      </w:r>
    </w:p>
    <w:p w14:paraId="089CD410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8024EF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siguientes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pautas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6615A45D" w14:textId="77777777" w:rsidR="00C72384" w:rsidRDefault="006B3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incluir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siguiente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referencia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línea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asunto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mensaje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RFQ Nº</w:t>
      </w:r>
      <w:r>
        <w:rPr>
          <w:rFonts w:ascii="Calibri" w:eastAsia="Calibri" w:hAnsi="Calibri" w:cs="Calibri"/>
          <w:b/>
          <w:sz w:val="22"/>
          <w:szCs w:val="22"/>
        </w:rPr>
        <w:t xml:space="preserve"> UNFPA/ECU/RFQ/22/008 DESARROLLAR E IMPLEMENTAR ESTRATEGIA DE FORTALECIMIENTO DE LA PARTICIPACION Y RENDICIÓN DE CUENTAS A MUJERES Y NIÑAS EN LAS PROVINC</w:t>
      </w:r>
      <w:r>
        <w:rPr>
          <w:rFonts w:ascii="Calibri" w:eastAsia="Calibri" w:hAnsi="Calibri" w:cs="Calibri"/>
          <w:b/>
          <w:sz w:val="22"/>
          <w:szCs w:val="22"/>
        </w:rPr>
        <w:t>IAS DE ESMERALDAS, MANABÍ Y EL ORO, DENTRO DEL PROYECTO FORTALECIMIENTO DE LOS SERVICIOS DE ATENCIÓN A LA VIOLENCIA BASADA EN GÉNERO EN BRASIL, ECUADOR Y PERÚ EN EL CONTEXTO DE COVID 19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financieras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contengan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línea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</w:t>
      </w:r>
      <w:r>
        <w:rPr>
          <w:rFonts w:ascii="Calibri" w:eastAsia="Calibri" w:hAnsi="Calibri" w:cs="Calibri"/>
          <w:color w:val="000000"/>
          <w:sz w:val="22"/>
          <w:szCs w:val="22"/>
        </w:rPr>
        <w:t>unto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correcta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omitidas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oficial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adquisiciones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lo tanto,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consideradas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74F5ED2" w14:textId="77777777" w:rsidR="00C72384" w:rsidRDefault="006B3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tamaño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total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mensaje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 mayor 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 MB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incluyendo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cuerpo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mensaje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archivos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adjuntos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cifrados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encabezados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figuran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archivos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gran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tamaño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recomienda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enviarlos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separado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dentro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plazo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estipulado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AF592BA" w14:textId="77777777" w:rsidR="00C72384" w:rsidRDefault="006B3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recibirán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automática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confirma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recepción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primer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requiere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envío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cuerpo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primer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licitantes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aclarar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número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mensajes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integrarán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total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recibe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mensaje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automática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primer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sistema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UNFPA,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favor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ecuador.office@unfpa.org</w:t>
      </w:r>
    </w:p>
    <w:p w14:paraId="6A0ACDBF" w14:textId="77777777" w:rsidR="00C72384" w:rsidRDefault="006B3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enviada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ser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tratada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misma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constituye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aceptación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ninguna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UNFPA. El UNFPA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obligación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otorgar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ningún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resultado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B84130C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DB7419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Resumen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proceso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evaluación</w:t>
      </w:r>
      <w:proofErr w:type="spellEnd"/>
    </w:p>
    <w:p w14:paraId="0201BA87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función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costo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total de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175D7F8C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F2E1AB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etapas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 panel de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ad-hoc. Se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conformidad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antes de </w:t>
      </w:r>
      <w:proofErr w:type="spellStart"/>
      <w:r>
        <w:rPr>
          <w:rFonts w:ascii="Calibri" w:eastAsia="Calibri" w:hAnsi="Calibri" w:cs="Calibri"/>
          <w:sz w:val="22"/>
          <w:szCs w:val="22"/>
        </w:rPr>
        <w:t>proceder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sz w:val="22"/>
          <w:szCs w:val="22"/>
        </w:rPr>
        <w:t>comparación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eastAsia="Calibri" w:hAnsi="Calibri" w:cs="Calibri"/>
          <w:sz w:val="22"/>
          <w:szCs w:val="22"/>
        </w:rPr>
        <w:t>cotizaciones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8C85CBA" w14:textId="77777777" w:rsidR="00C72384" w:rsidRDefault="00C723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9A0BEF" w14:textId="77777777" w:rsidR="00C72384" w:rsidRDefault="006B39F1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técnica</w:t>
      </w:r>
      <w:proofErr w:type="spellEnd"/>
    </w:p>
    <w:p w14:paraId="05C8AACB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E4CCE7C" w14:textId="77777777" w:rsidR="00C72384" w:rsidRDefault="006B39F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sz w:val="22"/>
          <w:szCs w:val="22"/>
        </w:rPr>
        <w:t>propuestas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adecuación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requisitos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términos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referencia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detallados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sección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II y </w:t>
      </w:r>
      <w:proofErr w:type="spellStart"/>
      <w:r>
        <w:rPr>
          <w:rFonts w:ascii="Calibri" w:eastAsia="Calibri" w:hAnsi="Calibri" w:cs="Calibri"/>
          <w:sz w:val="22"/>
          <w:szCs w:val="22"/>
        </w:rPr>
        <w:t>según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criterios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detallados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continuación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39A79B5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83C0EF6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316D705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E43CAFC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9CEFC3E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4AF9012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E36C932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6D16805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A904E06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d"/>
        <w:tblW w:w="9981" w:type="dxa"/>
        <w:jc w:val="center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501"/>
        <w:gridCol w:w="28"/>
        <w:gridCol w:w="1382"/>
        <w:gridCol w:w="1476"/>
        <w:gridCol w:w="1642"/>
        <w:gridCol w:w="1952"/>
      </w:tblGrid>
      <w:tr w:rsidR="00C72384" w14:paraId="75DE7F39" w14:textId="77777777">
        <w:trPr>
          <w:trHeight w:val="782"/>
          <w:jc w:val="center"/>
        </w:trPr>
        <w:tc>
          <w:tcPr>
            <w:tcW w:w="352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14:paraId="1D0E1D97" w14:textId="77777777" w:rsidR="00C72384" w:rsidRDefault="006B39F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13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14:paraId="4191E26D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[A] Puntos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máximos</w:t>
            </w:r>
            <w:proofErr w:type="spellEnd"/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14:paraId="14A84EC2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[B]</w:t>
            </w:r>
          </w:p>
          <w:p w14:paraId="17E2362E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Puntos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obtenidos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por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oferente</w:t>
            </w:r>
            <w:proofErr w:type="spellEnd"/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14:paraId="5C45440C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[C]</w:t>
            </w:r>
          </w:p>
          <w:p w14:paraId="6850692F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Ponderación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(%)</w:t>
            </w:r>
          </w:p>
        </w:tc>
        <w:tc>
          <w:tcPr>
            <w:tcW w:w="19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</w:tcPr>
          <w:p w14:paraId="6FE00E55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[B] x [C] = [D]</w:t>
            </w:r>
          </w:p>
          <w:p w14:paraId="0192C00E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Puntos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totales</w:t>
            </w:r>
            <w:proofErr w:type="spellEnd"/>
          </w:p>
        </w:tc>
      </w:tr>
      <w:tr w:rsidR="00C72384" w14:paraId="333405EB" w14:textId="77777777">
        <w:trPr>
          <w:trHeight w:val="782"/>
          <w:jc w:val="center"/>
        </w:trPr>
        <w:tc>
          <w:tcPr>
            <w:tcW w:w="35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3C39901" w14:textId="77777777" w:rsidR="00C72384" w:rsidRDefault="006B39F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Abordaje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consistente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convocatoria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basado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enfoque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derechos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humanos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violencia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basada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género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emergencias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derechos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sexuales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reproductivos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1D1A4F0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2B1627A" w14:textId="77777777" w:rsidR="00C72384" w:rsidRDefault="00C72384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A1BD39C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40%</w:t>
            </w:r>
          </w:p>
        </w:tc>
        <w:tc>
          <w:tcPr>
            <w:tcW w:w="19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91FA17" w14:textId="77777777" w:rsidR="00C72384" w:rsidRDefault="00C72384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</w:p>
        </w:tc>
      </w:tr>
      <w:tr w:rsidR="00C72384" w14:paraId="37BC232E" w14:textId="77777777">
        <w:trPr>
          <w:trHeight w:val="782"/>
          <w:jc w:val="center"/>
        </w:trPr>
        <w:tc>
          <w:tcPr>
            <w:tcW w:w="35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DD3DFBC" w14:textId="77777777" w:rsidR="00C72384" w:rsidRDefault="006B39F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Calidad de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propuesta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demostración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vínculo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claro entre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problema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abordar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estrategia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técnica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propuesta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procesos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rigurosos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monitoreo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rendición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cuentas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43B278E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C6960F5" w14:textId="77777777" w:rsidR="00C72384" w:rsidRDefault="00C72384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1B95FEA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40%</w:t>
            </w:r>
          </w:p>
        </w:tc>
        <w:tc>
          <w:tcPr>
            <w:tcW w:w="19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FA13D5F" w14:textId="77777777" w:rsidR="00C72384" w:rsidRDefault="00C72384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</w:p>
        </w:tc>
      </w:tr>
      <w:tr w:rsidR="00C72384" w14:paraId="6BF61DF5" w14:textId="77777777">
        <w:trPr>
          <w:trHeight w:val="782"/>
          <w:jc w:val="center"/>
        </w:trPr>
        <w:tc>
          <w:tcPr>
            <w:tcW w:w="35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79E61FE" w14:textId="77777777" w:rsidR="00C72384" w:rsidRDefault="006B39F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Propuesta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financiera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22235A7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570FC1F" w14:textId="77777777" w:rsidR="00C72384" w:rsidRDefault="00C72384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A84EA6F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20%</w:t>
            </w:r>
          </w:p>
        </w:tc>
        <w:tc>
          <w:tcPr>
            <w:tcW w:w="19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8226E81" w14:textId="77777777" w:rsidR="00C72384" w:rsidRDefault="00C72384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</w:p>
        </w:tc>
      </w:tr>
      <w:tr w:rsidR="00C72384" w14:paraId="4D7423B4" w14:textId="77777777">
        <w:trPr>
          <w:trHeight w:val="782"/>
          <w:jc w:val="center"/>
        </w:trPr>
        <w:tc>
          <w:tcPr>
            <w:tcW w:w="35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14:paraId="5BE82AB3" w14:textId="77777777" w:rsidR="00C72384" w:rsidRDefault="006B39F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Suma total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todos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14:paraId="74BB080A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14:paraId="463060DE" w14:textId="77777777" w:rsidR="00C72384" w:rsidRDefault="00C72384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14:paraId="4900FA97" w14:textId="77777777" w:rsidR="00C72384" w:rsidRDefault="006B39F1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9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BFBFBF"/>
            <w:vAlign w:val="center"/>
          </w:tcPr>
          <w:p w14:paraId="459A59CF" w14:textId="77777777" w:rsidR="00C72384" w:rsidRDefault="00C72384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</w:p>
        </w:tc>
      </w:tr>
    </w:tbl>
    <w:p w14:paraId="7B8A917F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0DFC9E90" w14:textId="77777777" w:rsidR="00C72384" w:rsidRDefault="006B39F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</w:t>
      </w:r>
      <w:proofErr w:type="spellStart"/>
      <w:r>
        <w:rPr>
          <w:rFonts w:ascii="Calibri" w:eastAsia="Calibri" w:hAnsi="Calibri" w:cs="Calibri"/>
          <w:sz w:val="22"/>
          <w:szCs w:val="22"/>
        </w:rPr>
        <w:t>garantizar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objetiva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  <w:szCs w:val="22"/>
        </w:rPr>
        <w:t>aplicará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siguiente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escala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puntuación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2F5BC3AB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e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C72384" w14:paraId="4AD1FE3B" w14:textId="7777777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4A4A" w14:textId="77777777" w:rsidR="00C72384" w:rsidRDefault="006B39F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Grado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cumplen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Términos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referencia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según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pruebas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incluidas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oferta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presentada</w:t>
            </w:r>
            <w:proofErr w:type="spellEnd"/>
          </w:p>
        </w:tc>
        <w:tc>
          <w:tcPr>
            <w:tcW w:w="2045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4EA8D" w14:textId="77777777" w:rsidR="00C72384" w:rsidRDefault="006B39F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Puntos </w:t>
            </w:r>
          </w:p>
          <w:p w14:paraId="5B46EBD4" w14:textId="77777777" w:rsidR="00C72384" w:rsidRDefault="006B39F1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de 100</w:t>
            </w:r>
          </w:p>
        </w:tc>
      </w:tr>
      <w:tr w:rsidR="00C72384" w14:paraId="6A98DA0A" w14:textId="77777777">
        <w:trPr>
          <w:trHeight w:val="395"/>
          <w:jc w:val="center"/>
        </w:trPr>
        <w:tc>
          <w:tcPr>
            <w:tcW w:w="650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EB95" w14:textId="77777777" w:rsidR="00C72384" w:rsidRDefault="006B39F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Supera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notablemente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</w:p>
        </w:tc>
        <w:tc>
          <w:tcPr>
            <w:tcW w:w="2045" w:type="dxa"/>
            <w:tcBorders>
              <w:top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9E46" w14:textId="77777777" w:rsidR="00C72384" w:rsidRDefault="006B39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 – 100</w:t>
            </w:r>
          </w:p>
        </w:tc>
      </w:tr>
      <w:tr w:rsidR="00C72384" w14:paraId="5BA48DB3" w14:textId="77777777">
        <w:trPr>
          <w:trHeight w:val="548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A028" w14:textId="77777777" w:rsidR="00C72384" w:rsidRDefault="006B39F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Supera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CEEF" w14:textId="77777777" w:rsidR="00C72384" w:rsidRDefault="006B39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80 – 89 </w:t>
            </w:r>
          </w:p>
        </w:tc>
      </w:tr>
      <w:tr w:rsidR="00C72384" w14:paraId="66E51233" w14:textId="77777777">
        <w:trPr>
          <w:trHeight w:val="50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F4ED" w14:textId="77777777" w:rsidR="00C72384" w:rsidRDefault="006B39F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Cumple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0D54" w14:textId="77777777" w:rsidR="00C72384" w:rsidRDefault="006B39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 – 79</w:t>
            </w:r>
          </w:p>
        </w:tc>
      </w:tr>
      <w:tr w:rsidR="00C72384" w14:paraId="434CCC18" w14:textId="77777777">
        <w:trPr>
          <w:trHeight w:val="476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21B1" w14:textId="77777777" w:rsidR="00C72384" w:rsidRDefault="006B39F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Cumple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parcialmente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17B1C" w14:textId="77777777" w:rsidR="00C72384" w:rsidRDefault="006B39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– 69</w:t>
            </w:r>
          </w:p>
        </w:tc>
      </w:tr>
      <w:tr w:rsidR="00C72384" w14:paraId="5037A8F7" w14:textId="77777777">
        <w:trPr>
          <w:trHeight w:val="613"/>
          <w:jc w:val="center"/>
        </w:trPr>
        <w:tc>
          <w:tcPr>
            <w:tcW w:w="6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9646" w14:textId="77777777" w:rsidR="00C72384" w:rsidRDefault="006B39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cumple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proporciona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información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evaluar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cumplimiento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requisitos</w:t>
            </w:r>
            <w:proofErr w:type="spellEnd"/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E84E" w14:textId="77777777" w:rsidR="00C72384" w:rsidRDefault="006B39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14:paraId="0259E127" w14:textId="77777777" w:rsidR="00C72384" w:rsidRDefault="00C723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sz w:val="22"/>
          <w:szCs w:val="22"/>
        </w:rPr>
      </w:pPr>
    </w:p>
    <w:p w14:paraId="4D1F4B57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449A2EF6" w14:textId="77777777" w:rsidR="00C72384" w:rsidRDefault="00C7238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right" w:pos="1980"/>
          <w:tab w:val="left" w:pos="2160"/>
          <w:tab w:val="left" w:pos="4320"/>
          <w:tab w:val="left" w:pos="-180"/>
          <w:tab w:val="right" w:pos="1980"/>
          <w:tab w:val="left" w:pos="2160"/>
          <w:tab w:val="left" w:pos="432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A08627D" w14:textId="77777777" w:rsidR="00C72384" w:rsidRDefault="006B39F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right" w:pos="1980"/>
          <w:tab w:val="left" w:pos="2160"/>
          <w:tab w:val="left" w:pos="4320"/>
          <w:tab w:val="left" w:pos="-180"/>
          <w:tab w:val="right" w:pos="1980"/>
          <w:tab w:val="left" w:pos="2160"/>
          <w:tab w:val="left" w:pos="4320"/>
        </w:tabs>
        <w:spacing w:before="200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Puntaje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total</w:t>
      </w:r>
    </w:p>
    <w:p w14:paraId="5EB74E6B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puntaje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total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ponderada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puntaje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puntaje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financiero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 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puntaje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total es de 100 puntos.</w:t>
      </w:r>
    </w:p>
    <w:p w14:paraId="3948461F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24B6F8A4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Criterios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adjudicación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A6D7C34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resultado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satisfactorio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UNFPA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otorgará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profesionales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máximos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aceptable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429B72" w14:textId="77777777" w:rsidR="00C72384" w:rsidRDefault="00C72384">
      <w:pPr>
        <w:rPr>
          <w:rFonts w:ascii="Calibri" w:eastAsia="Calibri" w:hAnsi="Calibri" w:cs="Calibri"/>
          <w:sz w:val="22"/>
          <w:szCs w:val="22"/>
        </w:rPr>
      </w:pPr>
    </w:p>
    <w:p w14:paraId="17526C56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Derecho 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modif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icar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requisitos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adjudicación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012E5E6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UNFPA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reserva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derecho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aumentar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reducir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adjudicación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hasta un 20%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volumen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especificado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(SDC) sin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ninguna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modifica</w:t>
      </w:r>
      <w:r>
        <w:rPr>
          <w:rFonts w:ascii="Calibri" w:eastAsia="Calibri" w:hAnsi="Calibri" w:cs="Calibri"/>
          <w:color w:val="000000"/>
          <w:sz w:val="22"/>
          <w:szCs w:val="22"/>
        </w:rPr>
        <w:t>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precios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términos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A8D6A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2FDFBB5B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Condiciones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pago</w:t>
      </w:r>
      <w:proofErr w:type="spellEnd"/>
    </w:p>
    <w:p w14:paraId="35234D1B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condiciones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UNFPA son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30 días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recepción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factura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entrega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aceptación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entregables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asociados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especifica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51CB05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E639DD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9" w:anchor="FraudCorruption">
        <w:proofErr w:type="spellStart"/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Fraude</w:t>
        </w:r>
        <w:proofErr w:type="spellEnd"/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 xml:space="preserve"> y </w:t>
        </w:r>
        <w:proofErr w:type="spellStart"/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corrupción</w:t>
        </w:r>
        <w:proofErr w:type="spellEnd"/>
      </w:hyperlink>
    </w:p>
    <w:p w14:paraId="5D468BDB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UNFPA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comprometido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prevenir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identificar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abordar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fraude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perpetrados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contra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UNFPA,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contra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terceros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involucrados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UNFPA.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consultar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Política del UNFPA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fraude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corrupción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clic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aquí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hyperlink r:id="rId10" w:anchor="overlay-context=node/10356/draft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Política </w:t>
        </w:r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sobre</w:t>
        </w:r>
        <w:proofErr w:type="spellEnd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fraude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propuesta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implica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 tanto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política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6702FB7" w14:textId="77777777" w:rsidR="00C72384" w:rsidRDefault="00C7238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8E3738B" w14:textId="77777777" w:rsidR="00C72384" w:rsidRDefault="006B39F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sus </w:t>
      </w:r>
      <w:proofErr w:type="spellStart"/>
      <w:r>
        <w:rPr>
          <w:rFonts w:ascii="Calibri" w:eastAsia="Calibri" w:hAnsi="Calibri" w:cs="Calibri"/>
          <w:sz w:val="22"/>
          <w:szCs w:val="22"/>
        </w:rPr>
        <w:t>subsidiarias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representantes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intermediarios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directores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cooperar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Auditoría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Investigaciones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UNFPA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entidad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supervisión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Director </w:t>
      </w:r>
      <w:proofErr w:type="spellStart"/>
      <w:r>
        <w:rPr>
          <w:rFonts w:ascii="Calibri" w:eastAsia="Calibri" w:hAnsi="Calibri" w:cs="Calibri"/>
          <w:sz w:val="22"/>
          <w:szCs w:val="22"/>
        </w:rPr>
        <w:t>Ejecutivo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con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Asesor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Ética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UNFPA de la </w:t>
      </w:r>
      <w:proofErr w:type="spellStart"/>
      <w:r>
        <w:rPr>
          <w:rFonts w:ascii="Calibri" w:eastAsia="Calibri" w:hAnsi="Calibri" w:cs="Calibri"/>
          <w:sz w:val="22"/>
          <w:szCs w:val="22"/>
        </w:rPr>
        <w:t>manera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requiera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  </w:t>
      </w:r>
      <w:proofErr w:type="spellStart"/>
      <w:r>
        <w:rPr>
          <w:rFonts w:ascii="Calibri" w:eastAsia="Calibri" w:hAnsi="Calibri" w:cs="Calibri"/>
          <w:sz w:val="22"/>
          <w:szCs w:val="22"/>
        </w:rPr>
        <w:t>Dicha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cooperación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incluirá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 no </w:t>
      </w:r>
      <w:proofErr w:type="spellStart"/>
      <w:r>
        <w:rPr>
          <w:rFonts w:ascii="Calibri" w:eastAsia="Calibri" w:hAnsi="Calibri" w:cs="Calibri"/>
          <w:sz w:val="22"/>
          <w:szCs w:val="22"/>
        </w:rPr>
        <w:t>limitada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acceso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empleados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presentantes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agentes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apoderados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todos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incluidos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contables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  No </w:t>
      </w:r>
      <w:proofErr w:type="spellStart"/>
      <w:r>
        <w:rPr>
          <w:rFonts w:ascii="Calibri" w:eastAsia="Calibri" w:hAnsi="Calibri" w:cs="Calibri"/>
          <w:sz w:val="22"/>
          <w:szCs w:val="22"/>
        </w:rPr>
        <w:t>cooperar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plenamente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las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investigaciones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considerará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suficiente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que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UNFPA </w:t>
      </w:r>
      <w:proofErr w:type="spellStart"/>
      <w:r>
        <w:rPr>
          <w:rFonts w:ascii="Calibri" w:eastAsia="Calibri" w:hAnsi="Calibri" w:cs="Calibri"/>
          <w:sz w:val="22"/>
          <w:szCs w:val="22"/>
        </w:rPr>
        <w:t>invalide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rescinda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y para que </w:t>
      </w:r>
      <w:proofErr w:type="spellStart"/>
      <w:r>
        <w:rPr>
          <w:rFonts w:ascii="Calibri" w:eastAsia="Calibri" w:hAnsi="Calibri" w:cs="Calibri"/>
          <w:sz w:val="22"/>
          <w:szCs w:val="22"/>
        </w:rPr>
        <w:t>excluya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elimine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lista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registrados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UNFPA.</w:t>
      </w:r>
    </w:p>
    <w:p w14:paraId="58D48345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BCDDDB" w14:textId="77777777" w:rsidR="00C72384" w:rsidRDefault="006B39F1">
      <w:pPr>
        <w:spacing w:line="276" w:lineRule="auto"/>
        <w:jc w:val="both"/>
        <w:rPr>
          <w:rFonts w:ascii="Calibri" w:eastAsia="Calibri" w:hAnsi="Calibri" w:cs="Calibri"/>
          <w:color w:val="003366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Hay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línea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directa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confidencial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prevenir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fraudes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encuentra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disponible para que </w:t>
      </w:r>
      <w:proofErr w:type="spellStart"/>
      <w:r>
        <w:rPr>
          <w:rFonts w:ascii="Calibri" w:eastAsia="Calibri" w:hAnsi="Calibri" w:cs="Calibri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licitador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denuncie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susciten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sospecha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fraude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1"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línea</w:t>
        </w:r>
        <w:proofErr w:type="spellEnd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directa</w:t>
        </w:r>
        <w:proofErr w:type="spellEnd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 de </w:t>
        </w:r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investiga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ción</w:t>
        </w:r>
        <w:proofErr w:type="spellEnd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 del UNFPA</w:t>
        </w:r>
      </w:hyperlink>
      <w:r>
        <w:rPr>
          <w:rFonts w:ascii="Calibri" w:eastAsia="Calibri" w:hAnsi="Calibri" w:cs="Calibri"/>
          <w:color w:val="003366"/>
          <w:sz w:val="22"/>
          <w:szCs w:val="22"/>
          <w:u w:val="single"/>
        </w:rPr>
        <w:t>.</w:t>
      </w:r>
    </w:p>
    <w:p w14:paraId="47981B0F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52FC12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Tolerancia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cero</w:t>
      </w:r>
    </w:p>
    <w:p w14:paraId="579D0E69" w14:textId="77777777" w:rsidR="00C72384" w:rsidRDefault="006B39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 UNFPA ha </w:t>
      </w:r>
      <w:proofErr w:type="spellStart"/>
      <w:r>
        <w:rPr>
          <w:rFonts w:ascii="Calibri" w:eastAsia="Calibri" w:hAnsi="Calibri" w:cs="Calibri"/>
          <w:sz w:val="22"/>
          <w:szCs w:val="22"/>
        </w:rPr>
        <w:t>adoptado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política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tolerancia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cero con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obsequios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sz w:val="22"/>
          <w:szCs w:val="22"/>
        </w:rPr>
        <w:t>hospitalidad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Por lo tanto, se les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se </w:t>
      </w:r>
      <w:proofErr w:type="spellStart"/>
      <w:r>
        <w:rPr>
          <w:rFonts w:ascii="Calibri" w:eastAsia="Calibri" w:hAnsi="Calibri" w:cs="Calibri"/>
          <w:sz w:val="22"/>
          <w:szCs w:val="22"/>
        </w:rPr>
        <w:t>abstengan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obsequios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sz w:val="22"/>
          <w:szCs w:val="22"/>
        </w:rPr>
        <w:t>ofrecer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hospitalidad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personal de</w:t>
      </w:r>
      <w:r>
        <w:rPr>
          <w:rFonts w:ascii="Calibri" w:eastAsia="Calibri" w:hAnsi="Calibri" w:cs="Calibri"/>
          <w:sz w:val="22"/>
          <w:szCs w:val="22"/>
        </w:rPr>
        <w:t xml:space="preserve">l UNFPA. </w:t>
      </w:r>
      <w:proofErr w:type="spellStart"/>
      <w:r>
        <w:rPr>
          <w:rFonts w:ascii="Calibri" w:eastAsia="Calibri" w:hAnsi="Calibri" w:cs="Calibri"/>
          <w:sz w:val="22"/>
          <w:szCs w:val="22"/>
        </w:rPr>
        <w:t>Puede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consultar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detalles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política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haciendo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aquí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 w:anchor="ZeroTolerance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Política de </w:t>
        </w:r>
        <w:proofErr w:type="spellStart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tolerancia</w:t>
        </w:r>
        <w:proofErr w:type="spellEnd"/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 xml:space="preserve"> cero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3F3EC41C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F64A93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Impugnación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 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Cotización</w:t>
      </w:r>
      <w:proofErr w:type="spellEnd"/>
    </w:p>
    <w:p w14:paraId="3497D287" w14:textId="77777777" w:rsidR="00C72384" w:rsidRDefault="006B39F1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Los </w:t>
      </w:r>
      <w:proofErr w:type="spellStart"/>
      <w:r>
        <w:rPr>
          <w:rFonts w:ascii="Calibri" w:eastAsia="Calibri" w:hAnsi="Calibri" w:cs="Calibri"/>
          <w:sz w:val="22"/>
          <w:szCs w:val="22"/>
        </w:rPr>
        <w:t>oferentes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sz w:val="22"/>
          <w:szCs w:val="22"/>
        </w:rPr>
        <w:t>consideren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</w:t>
      </w:r>
      <w:r>
        <w:rPr>
          <w:rFonts w:ascii="Calibri" w:eastAsia="Calibri" w:hAnsi="Calibri" w:cs="Calibri"/>
          <w:sz w:val="22"/>
          <w:szCs w:val="22"/>
        </w:rPr>
        <w:t xml:space="preserve">ue </w:t>
      </w:r>
      <w:proofErr w:type="spellStart"/>
      <w:r>
        <w:rPr>
          <w:rFonts w:ascii="Calibri" w:eastAsia="Calibri" w:hAnsi="Calibri" w:cs="Calibri"/>
          <w:sz w:val="22"/>
          <w:szCs w:val="22"/>
        </w:rPr>
        <w:t>han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 </w:t>
      </w:r>
      <w:proofErr w:type="spellStart"/>
      <w:r>
        <w:rPr>
          <w:rFonts w:ascii="Calibri" w:eastAsia="Calibri" w:hAnsi="Calibri" w:cs="Calibri"/>
          <w:sz w:val="22"/>
          <w:szCs w:val="22"/>
        </w:rPr>
        <w:t>injusta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conexión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licitación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evaluación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adjudicación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contrato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enviarle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ecuador.office@unfpa.org</w:t>
      </w:r>
      <w:r>
        <w:rPr>
          <w:rFonts w:ascii="Calibri" w:eastAsia="Calibri" w:hAnsi="Calibri" w:cs="Calibri"/>
          <w:sz w:val="22"/>
          <w:szCs w:val="22"/>
        </w:rPr>
        <w:t xml:space="preserve">. Si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estuviera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satisfecho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la </w:t>
      </w:r>
      <w:proofErr w:type="spellStart"/>
      <w:r>
        <w:rPr>
          <w:rFonts w:ascii="Calibri" w:eastAsia="Calibri" w:hAnsi="Calibri" w:cs="Calibri"/>
          <w:sz w:val="22"/>
          <w:szCs w:val="22"/>
        </w:rPr>
        <w:t>respuesta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proporcionada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Directo</w:t>
      </w:r>
      <w:r>
        <w:rPr>
          <w:rFonts w:ascii="Calibri" w:eastAsia="Calibri" w:hAnsi="Calibri" w:cs="Calibri"/>
          <w:sz w:val="22"/>
          <w:szCs w:val="22"/>
        </w:rPr>
        <w:t xml:space="preserve">r de la Unidad de </w:t>
      </w:r>
      <w:proofErr w:type="spellStart"/>
      <w:r>
        <w:rPr>
          <w:rFonts w:ascii="Calibri" w:eastAsia="Calibri" w:hAnsi="Calibri" w:cs="Calibri"/>
          <w:sz w:val="22"/>
          <w:szCs w:val="22"/>
        </w:rPr>
        <w:t>Negocios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UNFPA,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proveedor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contactarse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Jefe de la </w:t>
      </w:r>
      <w:proofErr w:type="spellStart"/>
      <w:r>
        <w:rPr>
          <w:rFonts w:ascii="Calibri" w:eastAsia="Calibri" w:hAnsi="Calibri" w:cs="Calibri"/>
          <w:sz w:val="22"/>
          <w:szCs w:val="22"/>
        </w:rPr>
        <w:t>Subdivisión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Servicios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Adquisición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escribiendo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hyperlink r:id="rId13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procurement@unfpa.org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3F7458D0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80003F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96652C" w14:textId="77777777" w:rsidR="00C72384" w:rsidRDefault="006B39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Limitación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responsabilidad</w:t>
      </w:r>
      <w:proofErr w:type="spellEnd"/>
    </w:p>
    <w:p w14:paraId="3EB44597" w14:textId="77777777" w:rsidR="00C72384" w:rsidRDefault="006B39F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alguno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enlaces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Cotización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(SDC)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estuviera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disponible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accesible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cualquier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oferentes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podrán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contactarse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eastAsia="Calibri" w:hAnsi="Calibri" w:cs="Calibri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ecuador.office@unfpa.org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solicitarle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versión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dicho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documento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DE8E52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0698D0" w14:textId="77777777" w:rsidR="00C72384" w:rsidRDefault="00C723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4" w:name="_heading=h.2et92p0" w:colFirst="0" w:colLast="0"/>
      <w:bookmarkEnd w:id="4"/>
    </w:p>
    <w:sectPr w:rsidR="00C72384">
      <w:headerReference w:type="default" r:id="rId14"/>
      <w:footerReference w:type="even" r:id="rId15"/>
      <w:footerReference w:type="default" r:id="rId16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FCB9" w14:textId="77777777" w:rsidR="006B39F1" w:rsidRDefault="006B39F1">
      <w:r>
        <w:separator/>
      </w:r>
    </w:p>
  </w:endnote>
  <w:endnote w:type="continuationSeparator" w:id="0">
    <w:p w14:paraId="460A8BF8" w14:textId="77777777" w:rsidR="006B39F1" w:rsidRDefault="006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918C" w14:textId="77777777" w:rsidR="00C72384" w:rsidRDefault="006B39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EB97CC2" w14:textId="77777777" w:rsidR="00C72384" w:rsidRDefault="00C723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3CA2" w14:textId="77777777" w:rsidR="00C72384" w:rsidRDefault="006B39F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90515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990515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7DFCEEC9" w14:textId="77777777" w:rsidR="00C72384" w:rsidRDefault="006B39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591F" w14:textId="77777777" w:rsidR="006B39F1" w:rsidRDefault="006B39F1">
      <w:r>
        <w:separator/>
      </w:r>
    </w:p>
  </w:footnote>
  <w:footnote w:type="continuationSeparator" w:id="0">
    <w:p w14:paraId="76DFAB7C" w14:textId="77777777" w:rsidR="006B39F1" w:rsidRDefault="006B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B80F" w14:textId="77777777" w:rsidR="00C72384" w:rsidRDefault="00C723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C72384" w14:paraId="5917B9E7" w14:textId="77777777">
      <w:trPr>
        <w:trHeight w:val="1142"/>
      </w:trPr>
      <w:tc>
        <w:tcPr>
          <w:tcW w:w="4995" w:type="dxa"/>
          <w:shd w:val="clear" w:color="auto" w:fill="auto"/>
        </w:tcPr>
        <w:p w14:paraId="2F56F82F" w14:textId="77777777" w:rsidR="00C72384" w:rsidRDefault="006B3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2349A88E" wp14:editId="5BD4042F">
                <wp:extent cx="971550" cy="457200"/>
                <wp:effectExtent l="0" t="0" r="0" b="0"/>
                <wp:docPr id="312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367BE9A8" w14:textId="77777777" w:rsidR="00C72384" w:rsidRDefault="006B3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Fondo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de Población de las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Naciones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Unidas</w:t>
          </w:r>
          <w:proofErr w:type="spellEnd"/>
        </w:p>
        <w:p w14:paraId="4ABFAFEB" w14:textId="77777777" w:rsidR="00C72384" w:rsidRDefault="006B3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Subdivisión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Servicios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Adquisición</w:t>
          </w:r>
          <w:proofErr w:type="spellEnd"/>
        </w:p>
        <w:p w14:paraId="36CC94B3" w14:textId="77777777" w:rsidR="00C72384" w:rsidRDefault="006B39F1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Centro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Corporativo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EKOPARK, Torre 4, </w:t>
          </w: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Piso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 2, Ecuador</w:t>
          </w:r>
        </w:p>
        <w:p w14:paraId="6171780F" w14:textId="77777777" w:rsidR="00C72384" w:rsidRDefault="006B39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7E43C6AE" w14:textId="77777777" w:rsidR="00C72384" w:rsidRDefault="00C72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0929F368" w14:textId="77777777" w:rsidR="00C72384" w:rsidRDefault="00C72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CFE"/>
    <w:multiLevelType w:val="multilevel"/>
    <w:tmpl w:val="2E106028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13211"/>
    <w:multiLevelType w:val="multilevel"/>
    <w:tmpl w:val="055CDD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D46EC2"/>
    <w:multiLevelType w:val="multilevel"/>
    <w:tmpl w:val="9ACC1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84"/>
    <w:rsid w:val="006B39F1"/>
    <w:rsid w:val="00990515"/>
    <w:rsid w:val="00C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F8CD"/>
  <w15:docId w15:val="{0DCC95A6-D5F7-4001-8147-7514903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199D"/>
    <w:pPr>
      <w:jc w:val="center"/>
    </w:pPr>
    <w:rPr>
      <w:b/>
      <w:bCs/>
      <w:sz w:val="24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02DC3"/>
    <w:rPr>
      <w:b/>
      <w:bCs/>
      <w:sz w:val="22"/>
      <w:lang w:val="en-US" w:eastAsia="en-US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mailto:procurement@unfp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3dcbCYK3GNllGNwaY5nfOZ2IQ==">AMUW2mWEdCvDAkBN3wmpBwRQe41yGhgNZhrlBKRefE57eSqXfQ3gekpVBei7UEUleSWns5zvZwFIrNGcPwOtQXI2udcBP90cQAdWt2Y3ifKXrz5J9D8mJwpEL69DOIHhVPT0FLDwWKchNCGsKsGniy/KJxDqWr2vWU+rZHw/EMVPxxZ0V9L5Z2DcOh1f3ZsEANj69Rx8/j1r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Mark</cp:lastModifiedBy>
  <cp:revision>2</cp:revision>
  <dcterms:created xsi:type="dcterms:W3CDTF">2020-08-21T14:52:00Z</dcterms:created>
  <dcterms:modified xsi:type="dcterms:W3CDTF">2022-03-15T14:29:00Z</dcterms:modified>
</cp:coreProperties>
</file>