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41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FORMULARIO DE COTIZACIÓN</w:t>
      </w:r>
    </w:p>
    <w:p w:rsidR="00000000" w:rsidDel="00000000" w:rsidP="00000000" w:rsidRDefault="00000000" w:rsidRPr="00000000" w14:paraId="00000003">
      <w:pPr>
        <w:widowControl w:val="0"/>
        <w:spacing w:before="141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21"/>
          <w:szCs w:val="21"/>
          <w:highlight w:val="white"/>
          <w:u w:val="single"/>
          <w:rtl w:val="0"/>
        </w:rPr>
        <w:t xml:space="preserve">UNFPA/ECU/RFQ/24/046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3234"/>
        </w:tabs>
        <w:spacing w:before="72" w:line="240" w:lineRule="auto"/>
        <w:ind w:left="402" w:right="46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de la empresa: 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3234"/>
        </w:tabs>
        <w:spacing w:before="72" w:line="360" w:lineRule="auto"/>
        <w:ind w:left="402" w:right="-58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Fecha de propuesta: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3234"/>
        </w:tabs>
        <w:spacing w:line="360" w:lineRule="auto"/>
        <w:ind w:left="402" w:right="-447" w:firstLine="0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Tipo de servicio: Elaboración de materiales promocionales para el proyecto Fortalecimiento de Servicios de Atención a la VBG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234"/>
        </w:tabs>
        <w:spacing w:line="360" w:lineRule="auto"/>
        <w:ind w:left="402" w:right="-2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Validez Cotización: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3234"/>
        </w:tabs>
        <w:spacing w:line="360" w:lineRule="auto"/>
        <w:ind w:left="402" w:right="-2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Tiempo de entrega: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35 días calendario a partir de la firma del contrato.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3234"/>
        </w:tabs>
        <w:spacing w:before="1" w:line="360" w:lineRule="auto"/>
        <w:ind w:left="40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 de pago: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Contra entrega del producto y presentación de la factura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3234"/>
        </w:tabs>
        <w:spacing w:before="1" w:line="360" w:lineRule="auto"/>
        <w:ind w:left="40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Autorizado por: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Maritza Segura, oficial de Género, Interculturalidad y Derechos Humanos</w:t>
      </w: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5.0" w:type="dxa"/>
        <w:tblLayout w:type="fixed"/>
        <w:tblLook w:val="0400"/>
      </w:tblPr>
      <w:tblGrid>
        <w:gridCol w:w="840"/>
        <w:gridCol w:w="6165"/>
        <w:gridCol w:w="975"/>
        <w:gridCol w:w="1035"/>
        <w:gridCol w:w="885"/>
        <w:tblGridChange w:id="0">
          <w:tblGrid>
            <w:gridCol w:w="840"/>
            <w:gridCol w:w="6165"/>
            <w:gridCol w:w="975"/>
            <w:gridCol w:w="1035"/>
            <w:gridCol w:w="88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Producto y Descripción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-720"/>
              </w:tabs>
              <w:spacing w:before="20" w:line="276" w:lineRule="auto"/>
              <w:ind w:right="14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Bolsos promocionales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400 Bolsos estilo “Tote bag”, tela tipo denim, azul, con cierre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Bolsillo interno para guardar teléfono celular grande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Impresión en serigrafía de dos colores: blanco y naranja en todo el frente.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bolso debe tener costuras reforzadas para soportar diferentes pesos.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cambrella, no poliéster.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Enviar muestra del bolso con la tela solicitada.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Dimensiones: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40cm de ancho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cm de alto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Tiras de 68cm 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deberán entregar en las siguientes provincias de la siguiente manera: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3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Pichincha – Quito: 60 Bolsos Promocionales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3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Esmeraldas – Esmeraldas: 85 Bolsos 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3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Manabí –  Portoviejo: 85 Bolsos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3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Guayas- Guayaquil: 85 Bolsos 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3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Oro – Machala: 85 Bolsos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Buffs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1000 Buffs sublimados a full color.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modelos, la empresa deberá realizar los diseños. UNFPA dará los parámetros para los mismos.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Tejido transpirable que absorbe humedad, ligero y estirable.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Enviar muestra del buff con la tela solicitada. 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deberán entregar en las siguientes provincias de la siguiente manera: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9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Pichincha – Quito: 60 Buffs</w:t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9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Esmeraldas – Esmeraldas: 235 Buffs  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9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Manabí –  Portoviejo: 235 Buffs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9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Guayas- Guayaquil: 235 Buffs 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9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Oro – Machala: 235 Buffs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3.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Cuadernos informativos VBG USAID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Rediseño de tablas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UNFPA entrega el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archivo (desactualizado) del cuaderno en formato pdf editable.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empresa deberá agregar una sección correspondiente a  salas de acogida (también en tablas, manteniendo el diseño)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requiere que la empresa realice la actualización de las tablas desactualizadas.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Los contenidos de las tablas actualizadas se enviarán desde UNFPA en formato Word para su adecuación.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Impresión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Tamaño de 16 cm x 20 cm.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Terminado: encolado.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Portada: cartulina couché 300g/m², plastificada mate.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 páginas internas en couché 115g/m², impresas a full color, con el diseño que se encuentra en el link: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https://drive.google.com/drive/folders/1FDle4sWu5tW-Yq0CecvQ9gB5vKGh9lrU</w:t>
              </w:r>
            </w:hyperlink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7"/>
              </w:numPr>
              <w:spacing w:line="240" w:lineRule="auto"/>
              <w:ind w:left="540" w:hanging="27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Portada interna y contraportada interna. También en el link adjunto: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https://drive.google.com/file/d/1yOmvFG1LKbcQtz-OPYM4fNzerkGSpv64/view?usp=sharing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7"/>
              </w:numPr>
              <w:spacing w:line="240" w:lineRule="auto"/>
              <w:ind w:left="540" w:hanging="270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60 hojas internas para escribir, en papel reciclado, sin impresión.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deberán entregar en las siguientes provincias de la siguiente manera:</w:t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5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Pichincha – Quito: 60 cuadernos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5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Esmeraldas – Esmeraldas: 110 cuadernos 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5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Manabí –  Portoviejo:  110 cuadernos 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5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Guayas- Guayaquil: 110 cuadernos </w:t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5"/>
              </w:numPr>
              <w:tabs>
                <w:tab w:val="left" w:leader="none" w:pos="-720"/>
              </w:tabs>
              <w:spacing w:after="0" w:before="0" w:line="240" w:lineRule="auto"/>
              <w:ind w:left="81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Oro – Machala: 110 cuadernos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3.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Esferos reciclables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Esferos ecológicos, reciclables con cuerpo de cartón. La parte plástica de color morado o azul.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Tinta color azul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 logos en color azul: USAID y UNFPA en azul a una sola tinta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Enviar muestra del esfero. 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Logo USAID: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https://drive.google.com/file/d/1czjFjhg8euE-rsfv9i1t2YXEyIh50ira/view?usp=sharing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Logo UNFPA: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https://drive.google.com/file/d/1XB8itk0jlvxMn5nzjopz44tKtRKaTctM/view?usp=sharing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deberán entregar en las siguientes provincias de la siguiente manera: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tabs>
                <w:tab w:val="left" w:leader="none" w:pos="-720"/>
              </w:tabs>
              <w:spacing w:after="0" w:afterAutospacing="0" w:before="24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Pichincha – Quito: 120 esferos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tabs>
                <w:tab w:val="left" w:leader="none" w:pos="-720"/>
              </w:tabs>
              <w:spacing w:after="0" w:afterAutospacing="0" w:before="0" w:beforeAutospacing="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Esmeraldas – Esmeraldas: 220 esferos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tabs>
                <w:tab w:val="left" w:leader="none" w:pos="-720"/>
              </w:tabs>
              <w:spacing w:after="0" w:afterAutospacing="0" w:before="0" w:beforeAutospacing="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Manabí –  Portoviejo:  220 esferos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tabs>
                <w:tab w:val="left" w:leader="none" w:pos="-720"/>
              </w:tabs>
              <w:spacing w:after="0" w:afterAutospacing="0" w:before="0" w:beforeAutospacing="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Guayas- Guayaquil: 220 esferos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tabs>
                <w:tab w:val="left" w:leader="none" w:pos="-720"/>
              </w:tabs>
              <w:spacing w:after="240" w:before="0" w:beforeAutospacing="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Oro – Machala: 220 esferos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7.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IVA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7.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line="240" w:lineRule="auto"/>
        <w:ind w:left="0" w:right="204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80"/>
        <w:tblGridChange w:id="0">
          <w:tblGrid>
            <w:gridCol w:w="9080"/>
          </w:tblGrid>
        </w:tblGridChange>
      </w:tblGrid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47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470"/>
              <w:tblGridChange w:id="0">
                <w:tblGrid>
                  <w:gridCol w:w="3470"/>
                </w:tblGrid>
              </w:tblGridChange>
            </w:tblGrid>
            <w:tr>
              <w:trPr>
                <w:cantSplit w:val="0"/>
                <w:trHeight w:val="110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after="240" w:before="240" w:lineRule="auto"/>
                    <w:rPr>
                      <w:rFonts w:ascii="Times New Roman" w:cs="Times New Roman" w:eastAsia="Times New Roman" w:hAnsi="Times New Roman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0"/>
                      <w:szCs w:val="20"/>
                      <w:rtl w:val="0"/>
                    </w:rPr>
                    <w:t xml:space="preserve">Comentario adicional de Proveedor:</w:t>
                  </w:r>
                </w:p>
                <w:p w:rsidR="00000000" w:rsidDel="00000000" w:rsidP="00000000" w:rsidRDefault="00000000" w:rsidRPr="00000000" w14:paraId="00000073">
                  <w:pPr>
                    <w:widowControl w:val="0"/>
                    <w:spacing w:after="240" w:before="240" w:lineRule="auto"/>
                    <w:rPr>
                      <w:rFonts w:ascii="Times New Roman" w:cs="Times New Roman" w:eastAsia="Times New Roman" w:hAnsi="Times New Roman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402" w:right="204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hd w:fill="ffffff" w:val="clear"/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Por la presente, se certifica que la empresa ......................................................................................... acepta presentar su cotización bajo los términos y condiciones requeridos por el UNFPA en Ecuador (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http://www.unfpa.org/resources/unfpa-general-conditions-contract</w:t>
        </w:r>
      </w:hyperlink>
      <w:r w:rsidDel="00000000" w:rsidR="00000000" w:rsidRPr="00000000">
        <w:rPr>
          <w:sz w:val="20"/>
          <w:szCs w:val="20"/>
          <w:rtl w:val="0"/>
        </w:rPr>
        <w:t xml:space="preserve">) la cual se compromete a mantener esta oferta hasta la fecha indicada y por la que estoy debidamente autorizada/o a firmar.</w:t>
      </w:r>
    </w:p>
    <w:p w:rsidR="00000000" w:rsidDel="00000000" w:rsidP="00000000" w:rsidRDefault="00000000" w:rsidRPr="00000000" w14:paraId="00000076">
      <w:pPr>
        <w:widowControl w:val="0"/>
        <w:spacing w:after="240" w:before="240" w:lineRule="auto"/>
        <w:ind w:right="2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7">
      <w:pPr>
        <w:widowControl w:val="0"/>
        <w:spacing w:after="240" w:before="240" w:lineRule="auto"/>
        <w:ind w:right="2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8">
      <w:pPr>
        <w:widowControl w:val="0"/>
        <w:spacing w:after="240" w:before="240" w:lineRule="auto"/>
        <w:ind w:right="2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Nombre: _____________________                                       </w:t>
        <w:tab/>
        <w:t xml:space="preserve">Lugar:_______________</w:t>
      </w:r>
    </w:p>
    <w:p w:rsidR="00000000" w:rsidDel="00000000" w:rsidP="00000000" w:rsidRDefault="00000000" w:rsidRPr="00000000" w14:paraId="00000079">
      <w:pPr>
        <w:widowControl w:val="0"/>
        <w:spacing w:after="240" w:before="240" w:lineRule="auto"/>
        <w:ind w:right="-45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Cargo: ______________________                                        </w:t>
        <w:tab/>
        <w:t xml:space="preserve">Sello: ________________</w:t>
      </w:r>
    </w:p>
    <w:p w:rsidR="00000000" w:rsidDel="00000000" w:rsidP="00000000" w:rsidRDefault="00000000" w:rsidRPr="00000000" w14:paraId="0000007A">
      <w:pPr>
        <w:widowControl w:val="0"/>
        <w:spacing w:after="240" w:lineRule="auto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 </w:t>
      </w:r>
    </w:p>
    <w:p w:rsidR="00000000" w:rsidDel="00000000" w:rsidP="00000000" w:rsidRDefault="00000000" w:rsidRPr="00000000" w14:paraId="0000007B">
      <w:pPr>
        <w:widowControl w:val="0"/>
        <w:spacing w:before="80" w:line="225.6" w:lineRule="auto"/>
        <w:ind w:right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Esta solicitud de cotización está sujeta a las condiciones generales del contrato: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Contrato Minimis</w:t>
      </w:r>
      <w:r w:rsidDel="00000000" w:rsidR="00000000" w:rsidRPr="00000000">
        <w:rPr>
          <w:sz w:val="20"/>
          <w:szCs w:val="20"/>
          <w:rtl w:val="0"/>
        </w:rPr>
        <w:t xml:space="preserve">, está disponible en la siguiente dirección:</w:t>
      </w:r>
    </w:p>
    <w:p w:rsidR="00000000" w:rsidDel="00000000" w:rsidP="00000000" w:rsidRDefault="00000000" w:rsidRPr="00000000" w14:paraId="0000007C">
      <w:pPr>
        <w:widowControl w:val="0"/>
        <w:spacing w:before="80" w:line="225.6" w:lineRule="auto"/>
        <w:ind w:right="360"/>
        <w:rPr>
          <w:color w:val="263238"/>
          <w:sz w:val="20"/>
          <w:szCs w:val="20"/>
          <w:u w:val="single"/>
        </w:rPr>
      </w:pPr>
      <w:hyperlink r:id="rId11">
        <w:r w:rsidDel="00000000" w:rsidR="00000000" w:rsidRPr="00000000">
          <w:rPr>
            <w:color w:val="263238"/>
            <w:sz w:val="20"/>
            <w:szCs w:val="20"/>
            <w:u w:val="single"/>
            <w:rtl w:val="0"/>
          </w:rPr>
          <w:t xml:space="preserve">https://drive.google.com/open?id=0B38LicFH5YHsVUZ4aFhmcFVBMzA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left="402" w:right="204" w:firstLine="0"/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720" w:top="1886.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spacing w:line="276" w:lineRule="auto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5429250</wp:posOffset>
              </wp:positionH>
              <wp:positionV relativeFrom="page">
                <wp:posOffset>292989</wp:posOffset>
              </wp:positionV>
              <wp:extent cx="1581150" cy="90043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74475" y="3348835"/>
                        <a:ext cx="154305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55" w:firstLine="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Simón Boliva y Vía Nayón Centro Corporativo EKOPARK, Torre 4, Piso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55" w:firstLine="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Teléfonos: (593- 2) 380-1920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000000476837158" w:firstLine="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eMail:  </w:t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vertAlign w:val="baseline"/>
                            </w:rPr>
                            <w:t xml:space="preserve">ecuador.office@unfpa.org </w:t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Quito – Ecuador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5429250</wp:posOffset>
              </wp:positionH>
              <wp:positionV relativeFrom="page">
                <wp:posOffset>292989</wp:posOffset>
              </wp:positionV>
              <wp:extent cx="1581150" cy="90043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1150" cy="900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114300" distT="114300" distL="114300" distR="114300">
          <wp:extent cx="1152525" cy="5762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576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open?id=0B38LicFH5YHsVUZ4aFhmcFVBMzA" TargetMode="External"/><Relationship Id="rId10" Type="http://schemas.openxmlformats.org/officeDocument/2006/relationships/hyperlink" Target="http://www.unfpa.org/resources/unfpa-general-conditions-contract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rive.google.com/file/d/1XB8itk0jlvxMn5nzjopz44tKtRKaTctM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FDle4sWu5tW-Yq0CecvQ9gB5vKGh9lrU" TargetMode="External"/><Relationship Id="rId7" Type="http://schemas.openxmlformats.org/officeDocument/2006/relationships/hyperlink" Target="https://drive.google.com/file/d/1yOmvFG1LKbcQtz-OPYM4fNzerkGSpv64/view?usp=sharing" TargetMode="External"/><Relationship Id="rId8" Type="http://schemas.openxmlformats.org/officeDocument/2006/relationships/hyperlink" Target="https://drive.google.com/file/d/1czjFjhg8euE-rsfv9i1t2YXEyIh50ira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